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БЕЛГОРОДСКАЯ ОБЛАСТЬ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529441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 w:val="off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АДМИНИСТРАЦИЯ АНДРЕЕВСКОГО СЕЛЬСКОГО ПОСЕЛЕНИЯ МУНИЦИПАЛЬНОГО РАЙОНА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 xml:space="preserve">"ЧЕРНЯНСКИЙ РАЙОН" 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widowControl w:val="off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БЕЛГОРОДСКОЙ ОБЛАСТИ</w:t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jc w:val="center"/>
        <w:rPr>
          <w:b/>
          <w:sz w:val="20"/>
        </w:rPr>
      </w:pPr>
      <w:r>
        <w:rPr>
          <w:b/>
          <w:sz w:val="20"/>
        </w:rPr>
        <w:t xml:space="preserve">с</w:t>
      </w:r>
      <w:r>
        <w:rPr>
          <w:b/>
          <w:sz w:val="20"/>
        </w:rPr>
        <w:t xml:space="preserve">. Андреевка</w:t>
      </w:r>
      <w:r>
        <w:rPr>
          <w:b/>
          <w:sz w:val="20"/>
        </w:rPr>
      </w:r>
      <w:r>
        <w:rPr>
          <w:b/>
          <w:sz w:val="20"/>
        </w:rPr>
      </w:r>
    </w:p>
    <w:p>
      <w:pPr>
        <w:shd w:val="clear" w:color="auto" w:fill="ffffff"/>
        <w:ind w:hanging="7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tabs>
          <w:tab w:val="left" w:pos="709" w:leader="none"/>
        </w:tabs>
        <w:jc w:val="both"/>
        <w:rPr>
          <w:b/>
          <w:color w:val="000000"/>
          <w:szCs w:val="28"/>
        </w:rPr>
      </w:pPr>
      <w:r>
        <w:rPr>
          <w:b/>
          <w:szCs w:val="28"/>
        </w:rPr>
        <w:t xml:space="preserve">22 апреля</w:t>
      </w:r>
      <w:r>
        <w:rPr>
          <w:b/>
          <w:szCs w:val="28"/>
        </w:rPr>
        <w:t xml:space="preserve"> </w:t>
      </w:r>
      <w:r>
        <w:rPr>
          <w:b/>
          <w:color w:val="000000"/>
          <w:szCs w:val="28"/>
        </w:rPr>
        <w:t xml:space="preserve">2025</w:t>
      </w:r>
      <w:r>
        <w:rPr>
          <w:b/>
          <w:color w:val="000000"/>
          <w:szCs w:val="28"/>
        </w:rPr>
        <w:t xml:space="preserve"> г.                                                                </w:t>
      </w:r>
      <w:r>
        <w:rPr>
          <w:b/>
          <w:color w:val="000000"/>
          <w:szCs w:val="28"/>
        </w:rPr>
        <w:t xml:space="preserve">                               № 8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bCs/>
          <w:color w:val="000000"/>
        </w:rPr>
      </w:pPr>
      <w:r>
        <w:rPr>
          <w:b/>
          <w:color w:val="000000"/>
          <w:szCs w:val="28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shd w:val="clear" w:color="auto" w:fill="ffffff"/>
        <w:tabs>
          <w:tab w:val="left" w:pos="709" w:leader="none"/>
        </w:tabs>
        <w:rPr>
          <w:b/>
          <w:bCs/>
          <w:color w:val="000000"/>
        </w:rPr>
      </w:pPr>
      <w:r>
        <w:rPr>
          <w:b/>
          <w:color w:val="000000"/>
          <w:szCs w:val="28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shd w:val="clear" w:color="auto" w:fill="ffffff"/>
        <w:tabs>
          <w:tab w:val="left" w:pos="709" w:leader="none"/>
        </w:tabs>
        <w:ind w:left="0" w:right="0" w:firstLine="0"/>
        <w:jc w:val="center"/>
        <w:rPr>
          <w:b/>
          <w:color w:val="000000"/>
          <w:szCs w:val="28"/>
          <w:highlight w:val="white"/>
        </w:rPr>
      </w:pPr>
      <w:bookmarkStart w:id="0" w:name="undefined"/>
      <w:r>
        <w:rPr>
          <w:b/>
          <w:color w:val="000000"/>
          <w:szCs w:val="28"/>
          <w:highlight w:val="white"/>
        </w:rPr>
        <w:t xml:space="preserve">О внесении изменений в постановление администрации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shd w:val="clear" w:color="auto" w:fill="ffffff"/>
        <w:tabs>
          <w:tab w:val="left" w:pos="709" w:leader="none"/>
        </w:tabs>
        <w:ind w:left="0" w:right="0" w:firstLine="0"/>
        <w:jc w:val="center"/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Андреевского сельского поселения муниципального района «</w:t>
      </w:r>
      <w:r>
        <w:rPr>
          <w:b/>
          <w:color w:val="000000"/>
          <w:szCs w:val="28"/>
          <w:highlight w:val="white"/>
        </w:rPr>
        <w:t xml:space="preserve">Чернянский</w:t>
      </w:r>
      <w:r>
        <w:rPr>
          <w:b/>
          <w:color w:val="000000"/>
          <w:szCs w:val="28"/>
          <w:highlight w:val="white"/>
        </w:rPr>
        <w:t xml:space="preserve"> район» Белгородской области от 27 декабря 2024 года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shd w:val="clear" w:color="auto" w:fill="ffffff"/>
        <w:tabs>
          <w:tab w:val="left" w:pos="709" w:leader="none"/>
        </w:tabs>
        <w:ind w:left="0" w:right="0" w:firstLine="0"/>
        <w:jc w:val="center"/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 № 50 «Об утверждении муниципальной программы «Устойчивое развитие сельских территорий </w:t>
      </w:r>
      <w:r>
        <w:rPr>
          <w:b/>
          <w:color w:val="000000"/>
          <w:szCs w:val="28"/>
          <w:highlight w:val="white"/>
        </w:rPr>
        <w:t xml:space="preserve">Андреевского</w:t>
      </w:r>
      <w:r>
        <w:rPr>
          <w:b/>
          <w:color w:val="000000"/>
          <w:szCs w:val="28"/>
          <w:highlight w:val="white"/>
        </w:rPr>
        <w:t xml:space="preserve"> сельского поселения </w:t>
      </w:r>
      <w:r>
        <w:rPr>
          <w:b/>
          <w:color w:val="000000"/>
          <w:szCs w:val="28"/>
          <w:highlight w:val="white"/>
        </w:rPr>
        <w:t xml:space="preserve">Чернянского</w:t>
      </w:r>
      <w:r>
        <w:rPr>
          <w:b/>
          <w:color w:val="000000"/>
          <w:szCs w:val="28"/>
          <w:highlight w:val="white"/>
        </w:rPr>
        <w:t xml:space="preserve"> района Белгородской области»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jc w:val="both"/>
        <w:rPr>
          <w:b/>
          <w:bCs/>
          <w:sz w:val="27"/>
          <w:szCs w:val="27"/>
          <w:highlight w:val="white"/>
        </w:rPr>
      </w:pPr>
      <w:r>
        <w:rPr>
          <w:b/>
          <w:bCs/>
          <w:sz w:val="27"/>
          <w:szCs w:val="27"/>
          <w:highlight w:val="white"/>
        </w:rPr>
      </w:r>
      <w:r>
        <w:rPr>
          <w:b/>
          <w:bCs/>
          <w:sz w:val="27"/>
          <w:szCs w:val="27"/>
          <w:highlight w:val="white"/>
        </w:rPr>
      </w:r>
      <w:r>
        <w:rPr>
          <w:b/>
          <w:bCs/>
          <w:sz w:val="27"/>
          <w:szCs w:val="27"/>
          <w:highlight w:val="white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jc w:val="both"/>
        <w:rPr>
          <w:b/>
          <w:bCs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</w:r>
      <w:r>
        <w:rPr>
          <w:b/>
          <w:bCs/>
          <w:sz w:val="27"/>
          <w:szCs w:val="27"/>
          <w:highlight w:val="white"/>
        </w:rPr>
      </w:r>
      <w:r>
        <w:rPr>
          <w:b/>
          <w:bCs/>
          <w:sz w:val="27"/>
          <w:szCs w:val="27"/>
          <w:highlight w:val="white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соответствии</w:t>
      </w:r>
      <w:r>
        <w:rPr>
          <w:szCs w:val="28"/>
          <w:highlight w:val="white"/>
        </w:rPr>
        <w:t xml:space="preserve">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</w:t>
      </w:r>
      <w:r>
        <w:rPr>
          <w:szCs w:val="28"/>
          <w:highlight w:val="white"/>
        </w:rPr>
        <w:t xml:space="preserve">Андреевского</w:t>
      </w:r>
      <w:r>
        <w:rPr>
          <w:szCs w:val="28"/>
          <w:highlight w:val="white"/>
        </w:rPr>
        <w:t xml:space="preserve"> сельского поселения «Устойчивое развитие сельских территорий </w:t>
      </w:r>
      <w:r>
        <w:rPr>
          <w:szCs w:val="28"/>
          <w:highlight w:val="white"/>
        </w:rPr>
        <w:t xml:space="preserve">Андреевского</w:t>
      </w:r>
      <w:r>
        <w:rPr>
          <w:szCs w:val="28"/>
          <w:highlight w:val="white"/>
        </w:rPr>
        <w:t xml:space="preserve"> сельского поселения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администрация </w:t>
      </w:r>
      <w:r>
        <w:rPr>
          <w:szCs w:val="28"/>
          <w:highlight w:val="white"/>
        </w:rPr>
        <w:t xml:space="preserve">Андреевского</w:t>
      </w:r>
      <w:r>
        <w:rPr>
          <w:szCs w:val="28"/>
          <w:highlight w:val="white"/>
        </w:rPr>
        <w:t xml:space="preserve"> сельского поселения муниципального района «</w:t>
      </w:r>
      <w:r>
        <w:rPr>
          <w:szCs w:val="28"/>
          <w:highlight w:val="white"/>
        </w:rPr>
        <w:t xml:space="preserve">Чернянский</w:t>
      </w:r>
      <w:r>
        <w:rPr>
          <w:szCs w:val="28"/>
          <w:highlight w:val="white"/>
        </w:rPr>
        <w:t xml:space="preserve"> район» Белгородской области </w:t>
      </w:r>
      <w:r>
        <w:rPr>
          <w:b/>
          <w:bCs/>
          <w:szCs w:val="28"/>
          <w:highlight w:val="white"/>
        </w:rPr>
        <w:t xml:space="preserve">постановляет: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1. Муниципальную программу «Устойчивое развитие сельских территорий </w:t>
      </w:r>
      <w:r>
        <w:rPr>
          <w:szCs w:val="28"/>
          <w:highlight w:val="white"/>
        </w:rPr>
        <w:t xml:space="preserve">Андреевского</w:t>
      </w:r>
      <w:r>
        <w:rPr>
          <w:szCs w:val="28"/>
          <w:highlight w:val="white"/>
        </w:rPr>
        <w:t xml:space="preserve"> сельского поселения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утвержденную постановлением администрации </w:t>
      </w:r>
      <w:r>
        <w:rPr>
          <w:szCs w:val="28"/>
          <w:highlight w:val="white"/>
        </w:rPr>
        <w:t xml:space="preserve">Андреевского</w:t>
      </w:r>
      <w:r>
        <w:rPr>
          <w:szCs w:val="28"/>
          <w:highlight w:val="white"/>
        </w:rPr>
        <w:t xml:space="preserve"> сельского поселения от </w:t>
      </w:r>
      <w:r>
        <w:rPr>
          <w:szCs w:val="28"/>
          <w:highlight w:val="white"/>
        </w:rPr>
        <w:t xml:space="preserve">27.12.2024 г. № 50</w:t>
      </w:r>
      <w:r>
        <w:rPr>
          <w:szCs w:val="28"/>
          <w:highlight w:val="white"/>
        </w:rPr>
        <w:t xml:space="preserve"> изложить в новой редакции (прилагается).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2. </w:t>
      </w:r>
      <w:r>
        <w:rPr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Андреевского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Андреевского сельского поселения в информационно-телекоммуникационной сети «Интернет» (</w:t>
      </w:r>
      <w:r>
        <w:rPr>
          <w:rFonts w:eastAsiaTheme="minorEastAsia"/>
          <w:color w:val="000000" w:themeColor="text1"/>
          <w:szCs w:val="28"/>
          <w:highlight w:val="white"/>
        </w:rPr>
        <w:t xml:space="preserve">https://</w:t>
      </w:r>
      <w:r>
        <w:rPr>
          <w:rFonts w:eastAsiaTheme="minorEastAsia"/>
          <w:color w:val="000000" w:themeColor="text1"/>
          <w:szCs w:val="28"/>
          <w:highlight w:val="white"/>
          <w:lang w:val="en-US"/>
        </w:rPr>
        <w:t xml:space="preserve">andreevka</w:t>
      </w:r>
      <w:r>
        <w:rPr>
          <w:rFonts w:eastAsiaTheme="minorEastAsia"/>
          <w:color w:val="000000" w:themeColor="text1"/>
          <w:szCs w:val="28"/>
          <w:highlight w:val="white"/>
        </w:rPr>
        <w:t xml:space="preserve">-r31.gosweb.gosuslugi.ru/</w:t>
      </w:r>
      <w:r>
        <w:rPr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 порядке, предусмотренном Уставом Андреевского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3. Контроль исполнения настоящего постановления оставляю за собой.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tabs>
          <w:tab w:val="left" w:pos="9360" w:leader="none"/>
        </w:tabs>
        <w:ind w:right="97"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</w:p>
    <w:p>
      <w:pPr>
        <w:tabs>
          <w:tab w:val="left" w:pos="9360" w:leader="none"/>
        </w:tabs>
        <w:ind w:right="97"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</w:p>
    <w:p>
      <w:pPr>
        <w:rPr>
          <w:b/>
          <w:szCs w:val="24"/>
        </w:rPr>
      </w:pPr>
      <w:r>
        <w:rPr>
          <w:b/>
          <w:szCs w:val="24"/>
        </w:rPr>
        <w:t xml:space="preserve">Глава администрации </w:t>
      </w:r>
      <w:r>
        <w:rPr>
          <w:b/>
          <w:szCs w:val="24"/>
        </w:rPr>
      </w:r>
      <w:r>
        <w:rPr>
          <w:b/>
          <w:szCs w:val="24"/>
        </w:rPr>
      </w:r>
    </w:p>
    <w:p>
      <w:pPr>
        <w:rPr>
          <w:b/>
          <w:szCs w:val="24"/>
        </w:rPr>
        <w:sectPr>
          <w:footnotePr/>
          <w:endnotePr/>
          <w:type w:val="nextPage"/>
          <w:pgSz w:w="11906" w:h="16838" w:orient="portrait"/>
          <w:pgMar w:top="850" w:right="850" w:bottom="850" w:left="1701" w:header="709" w:footer="709" w:gutter="0"/>
          <w:cols w:num="1" w:sep="0" w:space="708" w:equalWidth="1"/>
          <w:docGrid w:linePitch="360"/>
        </w:sectPr>
      </w:pPr>
      <w:r>
        <w:rPr>
          <w:b/>
          <w:szCs w:val="24"/>
        </w:rPr>
        <w:t xml:space="preserve">Андреевского сельского поселения                                           В.И. Рязанцев</w:t>
      </w:r>
      <w:r>
        <w:rPr>
          <w:b/>
          <w:szCs w:val="24"/>
        </w:rPr>
      </w:r>
      <w:r>
        <w:rPr>
          <w:b/>
          <w:szCs w:val="24"/>
        </w:rPr>
      </w:r>
    </w:p>
    <w:p>
      <w:pPr>
        <w:tabs>
          <w:tab w:val="left" w:pos="993" w:leader="none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Реестр документов, входящих в состав муниципальной программы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94"/>
        <w:tblW w:w="5000" w:type="pct"/>
        <w:jc w:val="center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"/>
        <w:gridCol w:w="2945"/>
        <w:gridCol w:w="2739"/>
        <w:gridCol w:w="1765"/>
        <w:gridCol w:w="1767"/>
        <w:gridCol w:w="2378"/>
        <w:gridCol w:w="2600"/>
      </w:tblGrid>
      <w:tr>
        <w:trPr>
          <w:jc w:val="center"/>
          <w:trHeight w:val="22"/>
        </w:trPr>
        <w:tc>
          <w:tcPr>
            <w:tcW w:w="432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2"/>
        </w:trPr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14626" w:type="dxa"/>
            <w:gridSpan w:val="7"/>
            <w:noWrap/>
            <w:textDirection w:val="lrTb"/>
            <w:vAlign w:val="center"/>
          </w:tcPr>
          <w:p>
            <w:pPr>
              <w:pStyle w:val="70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Устойчивое развитие сельских территорий Андреевского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707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14626" w:type="dxa"/>
            <w:gridSpan w:val="7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 «Реализация мероприятий по благоустройству Андреевского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</w:pPr>
    </w:p>
    <w:p/>
    <w:p>
      <w:pPr>
        <w:sectPr>
          <w:footnotePr/>
          <w:endnotePr/>
          <w:type w:val="nextPage"/>
          <w:pgSz w:w="16838" w:h="11906" w:orient="landscape"/>
          <w:pgMar w:top="1134" w:right="1134" w:bottom="1134" w:left="1134" w:header="720" w:footer="720" w:gutter="0"/>
          <w:cols w:num="1" w:sep="0" w:space="720" w:equalWidth="1"/>
          <w:docGrid w:linePitch="360"/>
        </w:sectPr>
      </w:pP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Андреевского сельского поселения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rPr>
          <w:b/>
          <w:bCs/>
          <w:szCs w:val="28"/>
        </w:rPr>
      </w:pPr>
      <w:r>
        <w:rPr>
          <w:bCs/>
          <w:sz w:val="24"/>
          <w:szCs w:val="24"/>
        </w:rPr>
        <w:t xml:space="preserve">от 22</w:t>
      </w:r>
      <w:r>
        <w:rPr>
          <w:bCs/>
          <w:sz w:val="24"/>
          <w:szCs w:val="24"/>
        </w:rPr>
        <w:t xml:space="preserve"> апреля 2025 года № 8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АНДРЕЕВСКОГО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Андреевского сельского поселения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 Андреевского сельского поселения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Андреевское сельское поселение входит в состав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 в соответствии с законом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принятым 20.12.2004 года № 159.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состав Андреевского сельского поселения входят следующие населенные пункты: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село Андреевка – центр поселения, удаленность от поселка Чернянка 20 км;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село Александровка, расположенное в северной части Андреевского сельского поселения на расстоянии 21 км от поселка Чернянка;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</w:t>
      </w:r>
      <w:r>
        <w:rPr>
          <w:shd w:val="clear" w:color="auto" w:fill="ffffff"/>
        </w:rPr>
        <w:t xml:space="preserve">Бабанино</w:t>
      </w:r>
      <w:r>
        <w:rPr>
          <w:shd w:val="clear" w:color="auto" w:fill="ffffff"/>
        </w:rPr>
        <w:t xml:space="preserve">, находящийся в двух километрах севернее села Андреевское;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</w:t>
      </w:r>
      <w:r>
        <w:rPr>
          <w:shd w:val="clear" w:color="auto" w:fill="ffffff"/>
        </w:rPr>
        <w:t xml:space="preserve">Малиново</w:t>
      </w:r>
      <w:r>
        <w:rPr>
          <w:shd w:val="clear" w:color="auto" w:fill="ffffff"/>
        </w:rPr>
        <w:t xml:space="preserve">, расположенный в юго-западной части сельского поселения;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</w:t>
      </w:r>
      <w:r>
        <w:rPr>
          <w:shd w:val="clear" w:color="auto" w:fill="ffffff"/>
        </w:rPr>
        <w:t xml:space="preserve">Новоселовка</w:t>
      </w:r>
      <w:r>
        <w:rPr>
          <w:shd w:val="clear" w:color="auto" w:fill="ffffff"/>
        </w:rPr>
        <w:t xml:space="preserve">, который находится на расстоянии 2,3 км северо-восточнее центра сельского поселения - села Андреевское;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хутор </w:t>
      </w:r>
      <w:r>
        <w:rPr>
          <w:shd w:val="clear" w:color="auto" w:fill="ffffff"/>
        </w:rPr>
        <w:t xml:space="preserve">Шляховое</w:t>
      </w:r>
      <w:r>
        <w:rPr>
          <w:shd w:val="clear" w:color="auto" w:fill="ffffff"/>
        </w:rPr>
        <w:t xml:space="preserve">, находящийся на востоке  Андреевского сельского поселения.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Транспортная связь населенных пунктов поселения  с районным центром  «Поселок Чернянка» осуществляется по автодороге «</w:t>
      </w:r>
      <w:r>
        <w:rPr>
          <w:shd w:val="clear" w:color="auto" w:fill="ffffff"/>
        </w:rPr>
        <w:t xml:space="preserve">Короча-Красное</w:t>
      </w:r>
      <w:r>
        <w:rPr>
          <w:shd w:val="clear" w:color="auto" w:fill="ffffff"/>
        </w:rPr>
        <w:t xml:space="preserve">». Ближайшая железнодорожная станция  расположена на расстоянии 20 км.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Общая площадь населенных пунктов сельского поселения- 439,3 га.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конфигурации, поселение представляет собой территорию, вытянутую  с северо-востока на юго-запад  на 15 км общей площадью 5605 га (4,5% от </w:t>
      </w:r>
      <w:r>
        <w:rPr>
          <w:shd w:val="clear" w:color="auto" w:fill="ffffff"/>
        </w:rPr>
        <w:t xml:space="preserve">общей площади </w:t>
      </w:r>
      <w:r>
        <w:rPr>
          <w:shd w:val="clear" w:color="auto" w:fill="ffffff"/>
        </w:rPr>
        <w:t xml:space="preserve">Чернянского</w:t>
      </w:r>
      <w:r>
        <w:rPr>
          <w:shd w:val="clear" w:color="auto" w:fill="ffffff"/>
        </w:rPr>
        <w:t xml:space="preserve"> района), земли сельскохозяйственного назначения – 4259 га, населенных пунктов – 439 га, промышленности и специального назначения  - 29 га, лесного фонда – 636 га, земли запаса – 242 га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hd w:val="clear" w:color="auto" w:fill="ffffff"/>
        </w:rPr>
      </w:pPr>
      <w:r>
        <w:rPr>
          <w:szCs w:val="28"/>
        </w:rPr>
        <w:t xml:space="preserve">Количество частных домовладений 412. Протяженность автодорог с твердым покрытием составляет </w:t>
      </w:r>
      <w:r>
        <w:rPr>
          <w:color w:val="000000" w:themeColor="text1"/>
          <w:szCs w:val="28"/>
        </w:rPr>
        <w:t xml:space="preserve">14,1 </w:t>
      </w:r>
      <w:r>
        <w:rPr>
          <w:szCs w:val="28"/>
        </w:rPr>
        <w:t xml:space="preserve">км.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Андреевском сельском поселении проживает</w:t>
      </w:r>
      <w:r>
        <w:rPr>
          <w:szCs w:val="28"/>
          <w:highlight w:val="white"/>
        </w:rPr>
        <w:t xml:space="preserve">627 человек, что составляет 2,2 % населения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района. Из них экономич</w:t>
      </w:r>
      <w:r>
        <w:rPr>
          <w:szCs w:val="28"/>
        </w:rPr>
        <w:t xml:space="preserve">ески активного населения 327 человек.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Территория поселения застроена одноэтажными домами. Из всего жилого фонда оборудовано: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водопроводом – 100%;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отоплением – 100 %;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газом – 100 %.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Согласно</w:t>
      </w:r>
      <w:r>
        <w:rPr>
          <w:szCs w:val="28"/>
        </w:rPr>
        <w:t xml:space="preserve"> Федерального закона от 06.10.2003 года № 131-ФЗ «Об общих принципах организации местного самоуправления Российской Федерации» и Устава Андреевского сельского поселения структуру органов местного самоуправления составляют: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администрация сельского поселения;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земское собрание сельского поселения, состоящее из главы поселения и 6 депутатов.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Экономическую основу сельского поселения составляет сельское хозяйство, выращивание зерновых и  сахарной свеклы.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Андреевского сельского поселения имеется МБОУ «СОШ с. Андреевка», МБУК «ЧРЦНТ и КДД</w:t>
      </w:r>
      <w:r>
        <w:rPr>
          <w:szCs w:val="28"/>
        </w:rPr>
        <w:t xml:space="preserve">»-</w:t>
      </w:r>
      <w:r>
        <w:rPr>
          <w:szCs w:val="28"/>
        </w:rPr>
        <w:t xml:space="preserve">структурное подразделение Андреевский ЦСДК, МБУК «ЧРЦНТ и КДД»-структурное подразделение Александровский </w:t>
      </w:r>
      <w:r>
        <w:rPr>
          <w:szCs w:val="28"/>
        </w:rPr>
        <w:t xml:space="preserve">клуб-библиотека, МДОУ</w:t>
      </w:r>
      <w:r>
        <w:rPr>
          <w:szCs w:val="28"/>
        </w:rPr>
        <w:t xml:space="preserve"> «Детский сад «Радуга» с. Александровка», поселенческая библиотека,2  почтовых отделения, 2 </w:t>
      </w:r>
      <w:r>
        <w:rPr>
          <w:szCs w:val="28"/>
        </w:rPr>
        <w:t xml:space="preserve">ФАПа</w:t>
      </w:r>
      <w:r>
        <w:rPr>
          <w:szCs w:val="28"/>
        </w:rPr>
        <w:t xml:space="preserve">, </w:t>
      </w:r>
      <w:r>
        <w:rPr>
          <w:szCs w:val="28"/>
        </w:rPr>
        <w:t xml:space="preserve">четыре частных</w:t>
      </w:r>
      <w:r>
        <w:rPr>
          <w:szCs w:val="28"/>
        </w:rPr>
        <w:t xml:space="preserve"> магазина.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центре села Андреевка имеется 2 сквера, в скверах уложена тротуарные дорожки, установлены скамейки, высажены туи, можжевельник, рябины, розы и др. На территории одного из скверов находится </w:t>
      </w:r>
      <w:r>
        <w:rPr>
          <w:szCs w:val="28"/>
        </w:rPr>
        <w:t xml:space="preserve">Памятник</w:t>
      </w:r>
      <w:r>
        <w:rPr>
          <w:szCs w:val="28"/>
        </w:rPr>
        <w:t xml:space="preserve"> советских воинов погибших в боях с фашистскими захватчиками в 1943 году, перед памятником расположена Братская могила.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В рамках реализации государственной программы РФ  «Развитие транспортной программы»  в 2023 году отремонтирована автодорога регионального значения « </w:t>
      </w:r>
      <w:r>
        <w:rPr>
          <w:szCs w:val="28"/>
        </w:rPr>
        <w:t xml:space="preserve">Короча-Красное-Андреевка-Бабанино</w:t>
      </w:r>
      <w:r>
        <w:rPr>
          <w:color w:val="000000" w:themeColor="text1"/>
          <w:szCs w:val="28"/>
        </w:rPr>
        <w:t xml:space="preserve">»</w:t>
      </w:r>
      <w:r>
        <w:rPr>
          <w:color w:val="000000" w:themeColor="text1"/>
          <w:szCs w:val="28"/>
        </w:rPr>
        <w:t xml:space="preserve">.</w:t>
      </w:r>
      <w:r>
        <w:rPr>
          <w:color w:val="ff0000"/>
          <w:szCs w:val="28"/>
        </w:rPr>
      </w:r>
    </w:p>
    <w:p>
      <w:pPr>
        <w:ind w:firstLine="709"/>
        <w:jc w:val="both"/>
      </w:pPr>
      <w:r>
        <w:t xml:space="preserve">На территории сельского поселения в 2023 году реализован  проект по капитальному ремонту школы </w:t>
      </w:r>
      <w:r>
        <w:t xml:space="preserve">в</w:t>
      </w:r>
      <w:r>
        <w:t xml:space="preserve"> с. Андреевка. Для детей создано уютное образовательн</w:t>
      </w:r>
      <w:r>
        <w:t xml:space="preserve">ое пространство. В учебном заведении заменили кровлю, отремонтировали и утеплили фасад, выполнили внутреннюю перепланировку и  отделку помещений, заменили все инженерные коммуникации. Организованы места для отдыха учащихся и детская  площадка для дошколят.</w:t>
      </w:r>
    </w:p>
    <w:p>
      <w:pPr>
        <w:ind w:firstLine="709"/>
        <w:jc w:val="both"/>
      </w:pPr>
      <w:r>
        <w:t xml:space="preserve">Летом 2024 года в селе Андреевка в рамках федеральной  целевой программы «Увековечивание памяти погибших при защите Отечества на 2019-2024 годы» поведены ремонтные работы братской могилы советских воинов. </w:t>
      </w:r>
      <w:r>
        <w:t xml:space="preserve">Отремонтирована скульптура, постамент и стилобат, а также заменены мемориальные плиты с фамилиями павших воинов. Проведено благоустройство прилегающей территории.</w:t>
      </w:r>
    </w:p>
    <w:p>
      <w:pPr>
        <w:ind w:firstLine="709"/>
        <w:jc w:val="both"/>
      </w:pPr>
      <w:r>
        <w:t xml:space="preserve">На территории Андреевского сельского поселения действует территориальное общественное самоуправление – ТОС «Андреевское»</w:t>
      </w:r>
      <w:r>
        <w:t xml:space="preserve">,Т</w:t>
      </w:r>
      <w:r>
        <w:t xml:space="preserve">ОС «</w:t>
      </w:r>
      <w:r>
        <w:t xml:space="preserve">Набережный</w:t>
      </w:r>
      <w:r>
        <w:t xml:space="preserve">» и ТОС «Александровский». (</w:t>
      </w:r>
      <w:r>
        <w:t xml:space="preserve">ТОСы</w:t>
      </w:r>
      <w:r>
        <w:t xml:space="preserve"> не обладают правами юридического лица)</w:t>
      </w:r>
      <w:r>
        <w:t xml:space="preserve">. В</w:t>
      </w:r>
      <w:r>
        <w:t xml:space="preserve"> хуторах </w:t>
      </w:r>
      <w:r>
        <w:t xml:space="preserve">Бабанино</w:t>
      </w:r>
      <w:r>
        <w:t xml:space="preserve"> и </w:t>
      </w:r>
      <w:r>
        <w:t xml:space="preserve">Новоселовка</w:t>
      </w:r>
      <w:r>
        <w:t xml:space="preserve"> общественное </w:t>
      </w:r>
      <w:r>
        <w:t xml:space="preserve">самоуправление представлено старостами.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конкретных людей, проживающих на территории нашего поселения.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Приоритеты социально-экономического развития Андреевского сельского поселения отражены в стратегии социально-экономического развития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</w:t>
      </w:r>
      <w:r>
        <w:rPr>
          <w:szCs w:val="28"/>
        </w:rPr>
        <w:t xml:space="preserve">н» Белгородской области на период до 2025 года (далее – Стратегия района) определено, что стратегической целью развития Андреевского сельского поселения является создание благоприятных социально-бытовых условий проживания населения на территории поселения.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К стратегическим задачам развития экономического и социального потенциала Андреевского сельского поселения относятся: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создание условий для стабильного развития поселения;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повышение уровня привлекательности поселения;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Исходя из обозначенных задач и приоритетов целью является</w:t>
      </w:r>
      <w:r>
        <w:rPr>
          <w:szCs w:val="28"/>
        </w:rPr>
        <w:t xml:space="preserve"> создание  благоприятных социально-бытовых условий проживания населения на территории поселения.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Природно-климатические условия Андреевского сельского поселения, его географическое положение создают благоприятные предпосылки для проведения работ по благоустройству территории.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Андреевского сельского поселения проводится определенная работа для комфортного проживания и отдыха населения.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Анализируя сложившуюся ситуацию по благоустройству территории Андреевского сельского поселения, можно выделить несколько проблем. Мероприятия необходимые для реализации благоустройства территории сельского поселения: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увеличить количество осветительных приборов по улицам сел;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увеличить количество зеленых насаждений;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увеличить количество контейнеров для сбора ТКО;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для нормального роста и развития газонов установить поливальные установки;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создать декоративные цветники;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-создать современную детскую игровую площадку.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Для решения вопросов  благоустройства требуется участие и взаимодействие органов местного самоуправления поселения с привлечением населения, предприятий и организаций.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территории населенных пунктов.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Для решения проблем по благоустройству сельского поселения необходим</w:t>
      </w:r>
      <w:r>
        <w:rPr>
          <w:szCs w:val="28"/>
        </w:rPr>
        <w:t xml:space="preserve">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предотвратить угрозу жизни и безопасности граждан, будет способствовать повышению уровня их комфортного проживания.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течение 2025 года и последующих годов необходимо организовать и провести смотры, конкурсы, направленны</w:t>
      </w:r>
      <w:r>
        <w:rPr>
          <w:szCs w:val="28"/>
        </w:rPr>
        <w:t xml:space="preserve">е на благоустройство Андреевского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Программа направлена на обеспечение привлекательности сельско</w:t>
      </w:r>
      <w:r>
        <w:rPr>
          <w:szCs w:val="28"/>
        </w:rPr>
        <w:t xml:space="preserve">й местности для комфортного проживания населения и включает в себя увеличение насаждений декоративных растений, содержание  в надлежащем состоянии территории парков, скверов, детских площадок, мест массового отдыха населения, создание многофункциональной с</w:t>
      </w:r>
      <w:r>
        <w:rPr>
          <w:szCs w:val="28"/>
        </w:rPr>
        <w:t xml:space="preserve">истемы зеленых насаждений для оздоровления окружающей жизненной среды, наилучшей организации массового отдыха населения, обогащение внешнего облика населенного пункта, повышение уровня комплексного благоустройства территории населенных пунктов Андреевского</w:t>
      </w:r>
      <w:r>
        <w:rPr>
          <w:szCs w:val="28"/>
        </w:rPr>
        <w:t xml:space="preserve">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  - увеличение  доли  отдыхающих  в  местах отдыха к 2030 году до 59%.</w:t>
      </w:r>
    </w:p>
    <w:p>
      <w:pPr>
        <w:tabs>
          <w:tab w:val="left" w:pos="993" w:leader="none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Андреевского сельского поселения», в рамках которого будет реализовываться комплекс процессных мероприятий «</w:t>
      </w:r>
      <w:r>
        <w:rPr>
          <w:bCs/>
          <w:szCs w:val="28"/>
        </w:rPr>
        <w:t xml:space="preserve">Реализация мероприятий по благоустройству Андреевского сельского поселения».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государственной программы Белгородской области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8"/>
        <w:jc w:val="both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</w:t>
      </w:r>
      <w:r>
        <w:rPr>
          <w:szCs w:val="28"/>
        </w:rPr>
        <w:t xml:space="preserve">сформированы с учетом национальных целей развития на период до 2030 года, определенных </w:t>
      </w:r>
      <w:hyperlink r:id="rId10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1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</w:t>
      </w:r>
      <w:r>
        <w:rPr>
          <w:szCs w:val="28"/>
        </w:rPr>
        <w:t xml:space="preserve">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8"/>
        <w:jc w:val="both"/>
        <w:rPr>
          <w:szCs w:val="28"/>
        </w:rPr>
      </w:pPr>
      <w:r>
        <w:rPr>
          <w:szCs w:val="28"/>
        </w:rPr>
        <w:t xml:space="preserve">Реализация</w:t>
      </w:r>
      <w:r>
        <w:rPr>
          <w:szCs w:val="28"/>
        </w:rPr>
        <w:t xml:space="preserve">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государственных программ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«Формирование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ind w:firstLine="709"/>
        <w:jc w:val="both"/>
        <w:rPr>
          <w:szCs w:val="28"/>
        </w:rPr>
      </w:pPr>
      <w:r>
        <w:rPr>
          <w:szCs w:val="28"/>
        </w:rPr>
        <w:t xml:space="preserve">По направлению (подпрограмме) «Благоустройство Андреевского сел</w:t>
      </w:r>
      <w:r>
        <w:rPr>
          <w:szCs w:val="28"/>
        </w:rPr>
        <w:t xml:space="preserve">ьского поселения» определена ключевая задача: обеспечение привлекательности сельской местности для комфортного проживания населения,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jc w:val="both"/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</w:p>
    <w:p>
      <w:pPr>
        <w:pStyle w:val="707"/>
        <w:spacing w:before="0" w:after="0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Паспорт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07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сельских территорий Андреевского сельского поселения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Чернянского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района Белгородской области»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993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tabs>
          <w:tab w:val="left" w:pos="993" w:leader="none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Основные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6"/>
        <w:gridCol w:w="5477"/>
        <w:gridCol w:w="5244"/>
      </w:tblGrid>
      <w:tr>
        <w:trPr>
          <w:trHeight w:val="20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РязанцевВ.И</w:t>
            </w:r>
            <w:r>
              <w:rPr>
                <w:sz w:val="22"/>
                <w:szCs w:val="22"/>
              </w:rPr>
              <w:t xml:space="preserve">. – глава администрации Андреевского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ind w:right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ind w:right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Потапова Е.Г. – главный специалист - управляющая делами администрации Андреевского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93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(и) 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8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«Благоустройство Андреевского сельского поселения»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2"/>
                <w:szCs w:val="22"/>
              </w:rPr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highlight w:val="white"/>
              </w:rPr>
              <w:t xml:space="preserve">7196,3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highlight w:val="white"/>
              </w:rPr>
              <w:t xml:space="preserve">7196,3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W w:w="4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муниципальная программа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2.Муниципальная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области».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  <w:highlight w:val="white"/>
              </w:rPr>
              <w:t xml:space="preserve">Чернянский</w:t>
            </w:r>
            <w:r>
              <w:rPr>
                <w:sz w:val="22"/>
                <w:szCs w:val="22"/>
                <w:highlight w:val="white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  <w:highlight w:val="white"/>
              </w:rPr>
              <w:t xml:space="preserve">Чернянский</w:t>
            </w:r>
            <w:r>
              <w:rPr>
                <w:sz w:val="22"/>
                <w:szCs w:val="22"/>
                <w:highlight w:val="white"/>
              </w:rPr>
              <w:t xml:space="preserve"> район»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0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Стратегическая цель </w:t>
            </w:r>
            <w:r>
              <w:rPr>
                <w:sz w:val="22"/>
                <w:szCs w:val="22"/>
                <w:highlight w:val="white"/>
              </w:rPr>
              <w:t xml:space="preserve">Чернянского</w:t>
            </w:r>
            <w:r>
              <w:rPr>
                <w:sz w:val="22"/>
                <w:szCs w:val="22"/>
                <w:highlight w:val="white"/>
              </w:rPr>
              <w:t xml:space="preserve"> района до 2025 года - повышение благосостояния населения </w:t>
            </w:r>
            <w:r>
              <w:rPr>
                <w:sz w:val="22"/>
                <w:szCs w:val="22"/>
                <w:highlight w:val="white"/>
              </w:rPr>
              <w:t xml:space="preserve">Чернянского</w:t>
            </w:r>
            <w:r>
              <w:rPr>
                <w:sz w:val="22"/>
                <w:szCs w:val="22"/>
                <w:highlight w:val="white"/>
              </w:rPr>
              <w:t xml:space="preserve">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tabs>
          <w:tab w:val="left" w:pos="12660" w:leader="none"/>
        </w:tabs>
        <w:jc w:val="both"/>
      </w:pPr>
    </w:p>
    <w:p>
      <w:pPr>
        <w:tabs>
          <w:tab w:val="left" w:pos="12660" w:leader="none"/>
        </w:tabs>
        <w:jc w:val="both"/>
      </w:pPr>
    </w:p>
    <w:p>
      <w:pPr>
        <w:tabs>
          <w:tab w:val="left" w:pos="12660" w:leader="none"/>
        </w:tabs>
        <w:jc w:val="both"/>
      </w:pP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330"/>
        <w:gridCol w:w="1220"/>
        <w:gridCol w:w="1274"/>
        <w:gridCol w:w="1133"/>
        <w:gridCol w:w="681"/>
        <w:gridCol w:w="565"/>
        <w:gridCol w:w="506"/>
        <w:gridCol w:w="569"/>
        <w:gridCol w:w="584"/>
        <w:gridCol w:w="594"/>
        <w:gridCol w:w="446"/>
        <w:gridCol w:w="64"/>
        <w:gridCol w:w="528"/>
        <w:gridCol w:w="950"/>
        <w:gridCol w:w="20"/>
        <w:gridCol w:w="1569"/>
        <w:gridCol w:w="32"/>
        <w:gridCol w:w="1582"/>
        <w:gridCol w:w="1244"/>
      </w:tblGrid>
      <w:tr>
        <w:trPr>
          <w:trHeight w:val="20"/>
          <w:tblHeader/>
        </w:trPr>
        <w:tc>
          <w:tcPr>
            <w:tcW w:w="4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3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9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5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6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государственных программ </w:t>
            </w:r>
            <w:r>
              <w:rPr>
                <w:spacing w:val="-2"/>
                <w:sz w:val="20"/>
              </w:rPr>
              <w:t xml:space="preserve">Чернянского</w:t>
            </w:r>
            <w:r>
              <w:rPr>
                <w:spacing w:val="-2"/>
                <w:sz w:val="20"/>
              </w:rPr>
              <w:t xml:space="preserve"> района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716"/>
          <w:tblHeader/>
        </w:trPr>
        <w:tc>
          <w:tcPr>
            <w:tcW w:w="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ние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24"/>
              <w:jc w:val="center"/>
            </w:pPr>
            <w:r>
              <w:t xml:space="preserve">2025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24"/>
              <w:jc w:val="center"/>
              <w:rPr>
                <w:szCs w:val="16"/>
              </w:rPr>
            </w:pPr>
            <w:r>
              <w:t xml:space="preserve">2026</w:t>
            </w: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24"/>
              <w:jc w:val="center"/>
            </w:pPr>
            <w:r>
              <w:t xml:space="preserve">2027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24"/>
              <w:jc w:val="center"/>
            </w:pPr>
            <w:r>
              <w:t xml:space="preserve">2028</w:t>
            </w:r>
          </w:p>
        </w:tc>
        <w:tc>
          <w:tcPr>
            <w:tcW w:w="5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24"/>
              <w:jc w:val="center"/>
            </w:pPr>
            <w:r>
              <w:t xml:space="preserve">2029</w:t>
            </w:r>
          </w:p>
        </w:tc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24"/>
              <w:jc w:val="center"/>
            </w:pPr>
            <w:r>
              <w:t xml:space="preserve">2030</w:t>
            </w:r>
          </w:p>
        </w:tc>
        <w:tc>
          <w:tcPr>
            <w:tcW w:w="97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5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224"/>
          <w:tblHeader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0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4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5" w:type="dxa"/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12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14" w:type="dxa"/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4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2"/>
        </w:trPr>
        <w:tc>
          <w:tcPr>
            <w:tcW w:w="15337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Создание условий для организации благоустройства территории  Андреевского сельского поселения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0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72" w:type="dxa"/>
              <w:top w:w="72" w:type="dxa"/>
              <w:right w:w="72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Проценты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2024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-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6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Андреевского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 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</w:tbl>
    <w:p>
      <w:pPr>
        <w:tabs>
          <w:tab w:val="left" w:pos="7455" w:leader="none"/>
        </w:tabs>
      </w:pPr>
    </w:p>
    <w:p>
      <w:pPr>
        <w:tabs>
          <w:tab w:val="left" w:pos="7455" w:leader="none"/>
        </w:tabs>
      </w:pPr>
    </w:p>
    <w:p>
      <w:pPr>
        <w:tabs>
          <w:tab w:val="left" w:pos="7455" w:leader="none"/>
        </w:tabs>
      </w:pPr>
    </w:p>
    <w:p>
      <w:pPr>
        <w:tabs>
          <w:tab w:val="left" w:pos="993" w:leader="none"/>
        </w:tabs>
        <w:jc w:val="center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</w:rPr>
        <w:t xml:space="preserve">3. Помесячный план достижения показателей муниципальной программы </w:t>
      </w:r>
      <w:r>
        <w:rPr>
          <w:b/>
          <w:bCs/>
          <w:sz w:val="22"/>
          <w:szCs w:val="22"/>
          <w:highlight w:val="white"/>
        </w:rPr>
        <w:t xml:space="preserve">в 2025 году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tabs>
          <w:tab w:val="left" w:pos="993" w:leader="none"/>
        </w:tabs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2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5"/>
        <w:gridCol w:w="3817"/>
        <w:gridCol w:w="1670"/>
        <w:gridCol w:w="1887"/>
        <w:gridCol w:w="576"/>
        <w:gridCol w:w="564"/>
        <w:gridCol w:w="37"/>
        <w:gridCol w:w="533"/>
        <w:gridCol w:w="28"/>
        <w:gridCol w:w="398"/>
        <w:gridCol w:w="31"/>
        <w:gridCol w:w="398"/>
        <w:gridCol w:w="28"/>
        <w:gridCol w:w="527"/>
        <w:gridCol w:w="15"/>
        <w:gridCol w:w="555"/>
        <w:gridCol w:w="9"/>
        <w:gridCol w:w="414"/>
        <w:gridCol w:w="12"/>
        <w:gridCol w:w="417"/>
        <w:gridCol w:w="9"/>
        <w:gridCol w:w="417"/>
        <w:gridCol w:w="9"/>
        <w:gridCol w:w="417"/>
        <w:gridCol w:w="40"/>
        <w:gridCol w:w="2087"/>
      </w:tblGrid>
      <w:tr>
        <w:trPr>
          <w:trHeight w:val="283"/>
          <w:tblHeader/>
        </w:trPr>
        <w:tc>
          <w:tcPr>
            <w:tcW w:w="139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№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</w:t>
            </w:r>
            <w:r>
              <w:rPr>
                <w:sz w:val="20"/>
                <w:highlight w:val="white"/>
              </w:rPr>
              <w:t xml:space="preserve">/</w:t>
            </w:r>
            <w:r>
              <w:rPr>
                <w:sz w:val="20"/>
                <w:highlight w:val="white"/>
              </w:rPr>
              <w:t xml:space="preserve">п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246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Наименование показателя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45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Уровень показателя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616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Единица измерения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(по ОКЕИ)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73" w:type="pct"/>
            <w:gridSpan w:val="21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681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b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 конец</w:t>
            </w:r>
            <w:r>
              <w:rPr>
                <w:sz w:val="20"/>
                <w:highlight w:val="white"/>
              </w:rPr>
              <w:t xml:space="preserve"> 2025 года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283"/>
          <w:tblHeader/>
        </w:trPr>
        <w:tc>
          <w:tcPr>
            <w:tcW w:w="139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6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3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0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7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139" w:type="pc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61" w:type="pct"/>
            <w:gridSpan w:val="25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Создание условий для организации благоустройства территории Андреевского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139" w:type="pc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noWrap/>
            <w:textDirection w:val="lrTb"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W w:w="616" w:type="pct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" w:type="pct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6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6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8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3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Структура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895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5132"/>
        <w:gridCol w:w="7696"/>
        <w:gridCol w:w="1840"/>
      </w:tblGrid>
      <w:tr>
        <w:trPr>
          <w:trHeight w:val="669"/>
          <w:tblHeader/>
        </w:trPr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782" w:type="pct"/>
            <w:gridSpan w:val="3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Направление (подпрограмма) «Благоустройство Андреевского сельского поселения»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782" w:type="pct"/>
            <w:gridSpan w:val="3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Андреевского сельского поселения»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673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both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Андреевского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3108" w:type="pct"/>
            <w:gridSpan w:val="2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Срок реализации 2025-2030 годы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1673" w:type="pct"/>
            <w:noWrap/>
            <w:textDirection w:val="lrTb"/>
          </w:tcPr>
          <w:p>
            <w:pPr>
              <w:widowControl w:val="off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noWrap/>
            <w:textDirection w:val="lrTb"/>
            <w:vAlign w:val="center"/>
          </w:tcPr>
          <w:p>
            <w:pPr>
              <w:widowControl w:val="off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 2030 году планируется увеличение доли отдыхающих в местах отдыха за счет проведения комплекса мероприятий</w:t>
            </w:r>
            <w:r>
              <w:rPr>
                <w:sz w:val="20"/>
              </w:rPr>
              <w:t xml:space="preserve"> направленных на обеспечение привлекательности сельского поселения для комфортного проживания населения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noWrap/>
            <w:textDirection w:val="lrTb"/>
          </w:tcPr>
          <w:p>
            <w:pPr>
              <w:widowControl w:val="off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Доля отдыхающих в местах отдыха</w:t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</w:p>
        </w:tc>
      </w:tr>
    </w:tbl>
    <w:p>
      <w:pPr>
        <w:jc w:val="both"/>
      </w:pPr>
    </w:p>
    <w:p>
      <w:pPr>
        <w:tabs>
          <w:tab w:val="left" w:pos="9390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Финансовое обеспечение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95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  <w:gridCol w:w="1701"/>
        <w:gridCol w:w="708"/>
        <w:gridCol w:w="709"/>
        <w:gridCol w:w="851"/>
        <w:gridCol w:w="708"/>
        <w:gridCol w:w="709"/>
        <w:gridCol w:w="709"/>
        <w:gridCol w:w="850"/>
      </w:tblGrid>
      <w:tr>
        <w:trPr>
          <w:trHeight w:val="476"/>
          <w:tblHeader/>
        </w:trPr>
        <w:tc>
          <w:tcPr>
            <w:tcW w:w="8392" w:type="dxa"/>
            <w:vMerge w:val="restart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noWrap/>
            <w:textDirection w:val="lrTb"/>
            <w:vAlign w:val="center"/>
          </w:tcPr>
          <w:p>
            <w:pPr>
              <w:tabs>
                <w:tab w:val="left" w:pos="1926" w:leader="none"/>
              </w:tabs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5244" w:type="dxa"/>
            <w:gridSpan w:val="7"/>
            <w:noWrap/>
            <w:textDirection w:val="lrTb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8392" w:type="dxa"/>
            <w:vMerge w:val="continue"/>
            <w:noWrap/>
            <w:textDirection w:val="lrTb"/>
            <w:vAlign w:val="center"/>
          </w:tcPr>
          <w:p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noWrap/>
            <w:textDirection w:val="lrTb"/>
          </w:tcPr>
          <w:p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8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tabs>
                <w:tab w:val="left" w:pos="8580" w:leader="none"/>
              </w:tabs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1754,0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7196,3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</w:tcPr>
          <w:p>
            <w:pPr>
              <w:tabs>
                <w:tab w:val="left" w:pos="270" w:leader="none"/>
              </w:tabs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</w:tcPr>
          <w:p>
            <w:pPr>
              <w:tabs>
                <w:tab w:val="left" w:pos="270" w:leader="none"/>
                <w:tab w:val="left" w:pos="585" w:leader="none"/>
              </w:tabs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1754,0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7196,3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tabs>
                <w:tab w:val="left" w:pos="8580" w:leader="none"/>
              </w:tabs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  <w:t xml:space="preserve">Комплекса процессных мероприятий «Реализация мероприятий по благоустройству Андреевского сельского поселения» (всего), в том числе: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1754,0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7196,3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tabs>
                <w:tab w:val="left" w:pos="270" w:leader="none"/>
              </w:tabs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tabs>
                <w:tab w:val="left" w:pos="270" w:leader="none"/>
                <w:tab w:val="left" w:pos="585" w:leader="none"/>
              </w:tabs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1754,0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1146,7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1073,9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7196,3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8392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II</w:t>
      </w:r>
      <w:r>
        <w:rPr>
          <w:b/>
          <w:bCs/>
          <w:sz w:val="22"/>
          <w:szCs w:val="22"/>
        </w:rPr>
        <w:t xml:space="preserve">. Паспорт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«Реализация мероприятий по благоустройству Андреевского сельского поселения»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Общие положения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/>
    <w:tbl>
      <w:tblPr>
        <w:tblStyle w:val="895"/>
        <w:tblW w:w="5000" w:type="pct"/>
        <w:jc w:val="center"/>
        <w:tblInd w:w="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5"/>
        <w:gridCol w:w="7301"/>
      </w:tblGrid>
      <w:tr>
        <w:trPr>
          <w:jc w:val="center"/>
          <w:trHeight w:val="516"/>
        </w:trPr>
        <w:tc>
          <w:tcPr>
            <w:tcW w:w="2504" w:type="pct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96" w:type="pct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Андреевского сельского поселения муниципального района  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tcW w:w="2504" w:type="pct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96" w:type="pct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r>
              <w:rPr>
                <w:rFonts w:cs="Times New Roman"/>
                <w:bCs/>
                <w:sz w:val="20"/>
              </w:rPr>
              <w:t xml:space="preserve">Чернянского</w:t>
            </w:r>
            <w:r>
              <w:rPr>
                <w:rFonts w:cs="Times New Roman"/>
                <w:bCs/>
                <w:sz w:val="20"/>
              </w:rPr>
              <w:t xml:space="preserve"> района Белгородской области»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</w:tr>
    </w:tbl>
    <w:p>
      <w:pPr>
        <w:jc w:val="both"/>
      </w:pPr>
    </w:p>
    <w:p>
      <w:pPr>
        <w:tabs>
          <w:tab w:val="left" w:pos="993" w:leader="none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комплекса процессных мероприятий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0"/>
        <w:gridCol w:w="1186"/>
        <w:gridCol w:w="1244"/>
        <w:gridCol w:w="1371"/>
        <w:gridCol w:w="285"/>
        <w:gridCol w:w="708"/>
        <w:gridCol w:w="568"/>
        <w:gridCol w:w="709"/>
        <w:gridCol w:w="567"/>
        <w:gridCol w:w="567"/>
        <w:gridCol w:w="567"/>
        <w:gridCol w:w="820"/>
        <w:gridCol w:w="737"/>
        <w:gridCol w:w="2695"/>
      </w:tblGrid>
      <w:tr>
        <w:trPr>
          <w:tblHeader/>
        </w:trPr>
        <w:tc>
          <w:tcPr>
            <w:tcW w:w="653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0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6" w:type="dxa"/>
            <w:gridSpan w:val="2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gridSpan w:val="2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7" w:type="dxa"/>
            <w:gridSpan w:val="6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blHeader/>
        </w:trPr>
        <w:tc>
          <w:tcPr>
            <w:tcW w:w="653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0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6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4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6" w:type="dxa"/>
            <w:gridSpan w:val="2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8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8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W w:w="653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0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186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244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656" w:type="dxa"/>
            <w:gridSpan w:val="2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708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568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709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W w:w="653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65" w:type="dxa"/>
            <w:gridSpan w:val="10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b/>
                <w:bCs/>
                <w:i/>
                <w:iCs/>
                <w:sz w:val="20"/>
              </w:rPr>
            </w:r>
            <w:r>
              <w:rPr>
                <w:b/>
                <w:bCs/>
                <w:i/>
                <w:iCs/>
                <w:sz w:val="20"/>
              </w:rPr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  <w:tc>
          <w:tcPr>
            <w:tcW w:w="3432" w:type="dxa"/>
            <w:gridSpan w:val="2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/>
        <w:tc>
          <w:tcPr>
            <w:tcW w:w="653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2660" w:type="dxa"/>
            <w:shd w:val="clear" w:color="ffffff" w:fill="ffffff"/>
            <w:noWrap/>
            <w:textDirection w:val="lrTb"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tcW w:w="1186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244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КМП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371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Проценты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993" w:type="dxa"/>
            <w:gridSpan w:val="2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568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2024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709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Андреевского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7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563"/>
      </w:tblGrid>
      <w:tr>
        <w:trPr>
          <w:trHeight w:val="235"/>
          <w:tblHeader/>
        </w:trPr>
        <w:tc>
          <w:tcPr>
            <w:tcW w:w="626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4" w:type="dxa"/>
            <w:gridSpan w:val="11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tcW w:w="1563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sz w:val="20"/>
              </w:rPr>
              <w:t xml:space="preserve"> 2025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tcW w:w="626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0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4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4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5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8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3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tcW w:w="62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0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49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4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5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8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3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tcW w:w="626" w:type="dxa"/>
            <w:tcBorders>
              <w:top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683" w:type="dxa"/>
            <w:gridSpan w:val="15"/>
            <w:shd w:val="clear" w:color="ffffff" w:fill="ffffff"/>
            <w:noWrap/>
            <w:textDirection w:val="lrTb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35"/>
        </w:trPr>
        <w:tc>
          <w:tcPr>
            <w:tcW w:w="626" w:type="dxa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shd w:val="clear" w:color="ffffff" w:fill="ffffff"/>
            <w:noWrap/>
            <w:textDirection w:val="lrTb"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tcW w:w="1410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КПМ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49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4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5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8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3" w:type="dxa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</w:pP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39"/>
        <w:tblW w:w="1533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752"/>
      </w:tblGrid>
      <w:tr>
        <w:trPr>
          <w:trHeight w:val="20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6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0"/>
                <w:highlight w:val="white"/>
              </w:rPr>
            </w:pPr>
            <w:r>
              <w:rPr>
                <w:rFonts w:eastAsia="Calibri"/>
                <w:sz w:val="20"/>
                <w:highlight w:val="white"/>
              </w:rPr>
              <w:t xml:space="preserve">Осуществление текущей деятельности</w:t>
            </w:r>
            <w:r>
              <w:rPr>
                <w:rFonts w:eastAsia="Calibri"/>
                <w:sz w:val="20"/>
                <w:highlight w:val="white"/>
              </w:rPr>
            </w:r>
            <w:r>
              <w:rPr>
                <w:rFonts w:eastAsia="Calibri"/>
                <w:sz w:val="20"/>
                <w:highlight w:val="white"/>
              </w:rPr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 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2024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  <w:highlight w:val="yellow"/>
              </w:rPr>
            </w:r>
            <w:r>
              <w:rPr>
                <w:bCs/>
                <w:sz w:val="20"/>
                <w:highlight w:val="yellow"/>
              </w:rPr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 направленных на обеспечение привлекательности сельского поселения для комфортного проживания населения. Данный комплекс ме</w:t>
            </w:r>
            <w:r>
              <w:rPr>
                <w:sz w:val="20"/>
              </w:rPr>
              <w:t xml:space="preserve">роприятий  включает в себя ремонт воинских захоронений, содержание 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</w:pP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Финансовое обеспечение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895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  <w:gridCol w:w="1701"/>
        <w:gridCol w:w="709"/>
        <w:gridCol w:w="567"/>
        <w:gridCol w:w="511"/>
        <w:gridCol w:w="481"/>
        <w:gridCol w:w="567"/>
        <w:gridCol w:w="567"/>
        <w:gridCol w:w="809"/>
      </w:tblGrid>
      <w:tr>
        <w:trPr>
          <w:trHeight w:val="476"/>
          <w:tblHeader/>
        </w:trPr>
        <w:tc>
          <w:tcPr>
            <w:tcW w:w="9384" w:type="dxa"/>
            <w:vMerge w:val="restart"/>
            <w:noWrap/>
            <w:textDirection w:val="lrTb"/>
            <w:vAlign w:val="center"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4211" w:type="dxa"/>
            <w:gridSpan w:val="7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9384" w:type="dxa"/>
            <w:vMerge w:val="continue"/>
            <w:noWrap/>
            <w:textDirection w:val="lrTb"/>
            <w:vAlign w:val="center"/>
          </w:tcPr>
          <w:p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noWrap/>
            <w:textDirection w:val="lrTb"/>
          </w:tcPr>
          <w:p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  <w:vAlign w:val="center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tabs>
                <w:tab w:val="left" w:pos="270" w:leader="none"/>
              </w:tabs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tabs>
                <w:tab w:val="left" w:pos="270" w:leader="none"/>
                <w:tab w:val="left" w:pos="585" w:leader="none"/>
              </w:tabs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tabs>
                <w:tab w:val="left" w:pos="285" w:leader="none"/>
              </w:tabs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b/>
                <w:sz w:val="20"/>
              </w:rPr>
              <w:t xml:space="preserve">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Местный бюджет (всего), из них: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tabs>
                <w:tab w:val="left" w:pos="270" w:leader="none"/>
              </w:tabs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tabs>
                <w:tab w:val="left" w:pos="270" w:leader="none"/>
                <w:tab w:val="left" w:pos="585" w:leader="none"/>
              </w:tabs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9384" w:type="dxa"/>
            <w:noWrap/>
            <w:textDirection w:val="lrTb"/>
            <w:vAlign w:val="center"/>
          </w:tcPr>
          <w:p>
            <w:pPr>
              <w:tabs>
                <w:tab w:val="left" w:pos="285" w:leader="none"/>
              </w:tabs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</w:tbl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План реализации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39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8"/>
      </w:tblGrid>
      <w:tr>
        <w:trPr>
          <w:trHeight w:val="463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97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4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Cs/>
                <w:i/>
                <w:sz w:val="20"/>
                <w:highlight w:val="yellow"/>
              </w:rPr>
            </w:pPr>
            <w:r>
              <w:rPr>
                <w:bCs/>
                <w:iCs/>
                <w:sz w:val="20"/>
              </w:rPr>
              <w:t xml:space="preserve">Мероприятие (результат)</w:t>
            </w:r>
            <w:r>
              <w:rPr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  <w:t xml:space="preserve">, </w:t>
            </w:r>
            <w:r>
              <w:rPr>
                <w:bCs/>
                <w:sz w:val="20"/>
              </w:rPr>
              <w:t xml:space="preserve">ежегодно</w:t>
            </w:r>
            <w:r>
              <w:rPr>
                <w:bCs/>
                <w:i/>
                <w:sz w:val="20"/>
                <w:highlight w:val="yellow"/>
              </w:rPr>
            </w:r>
            <w:r>
              <w:rPr>
                <w:bCs/>
                <w:i/>
                <w:sz w:val="20"/>
                <w:highlight w:val="yellow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trike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trike/>
                <w:sz w:val="20"/>
                <w:lang w:val="en-US"/>
              </w:rPr>
            </w:r>
            <w:r>
              <w:rPr>
                <w:bCs/>
                <w:strike/>
                <w:sz w:val="20"/>
                <w:lang w:val="en-US"/>
              </w:rPr>
            </w:r>
          </w:p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10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«Проведены событийные мероприятия на территории сельского поселения»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27.02.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Распоряжения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 ремонт и благоустройство воинских захоронений»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27.04.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</w:t>
            </w:r>
            <w:r>
              <w:rPr>
                <w:bCs/>
                <w:sz w:val="20"/>
              </w:rPr>
              <w:t xml:space="preserve">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«Благоустройство и содержание в надлежащем состоянии территории кладбища </w:t>
            </w:r>
            <w:r>
              <w:rPr>
                <w:bCs/>
                <w:sz w:val="20"/>
              </w:rPr>
              <w:t xml:space="preserve">с</w:t>
            </w:r>
            <w:r>
              <w:rPr>
                <w:bCs/>
                <w:sz w:val="20"/>
              </w:rPr>
              <w:t xml:space="preserve">. Андреевка»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28.04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1.1.К.4.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«Содержание в надлежащем состоянии парков, скверов, детских площадок, мест массового отдыха жителей»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22.05.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1.1.К.5.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«Озеленение территории сельского поселения»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05.06.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работ,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07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7.Сведения о порядке сбора информации и методике расчета показателя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07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«Устойчивое развитие сельских территорий Андреевского сельского поселения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Чернянского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района Белгородской области»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/>
    <w:tbl>
      <w:tblPr>
        <w:tblStyle w:val="739"/>
        <w:tblW w:w="15417" w:type="dxa"/>
        <w:tblLook w:val="04A0" w:firstRow="1" w:lastRow="0" w:firstColumn="1" w:lastColumn="0" w:noHBand="0" w:noVBand="1"/>
      </w:tblPr>
      <w:tblGrid>
        <w:gridCol w:w="745"/>
        <w:gridCol w:w="1102"/>
        <w:gridCol w:w="1849"/>
        <w:gridCol w:w="296"/>
        <w:gridCol w:w="1176"/>
        <w:gridCol w:w="420"/>
        <w:gridCol w:w="1426"/>
        <w:gridCol w:w="1996"/>
        <w:gridCol w:w="1690"/>
        <w:gridCol w:w="3118"/>
        <w:gridCol w:w="1668"/>
      </w:tblGrid>
      <w:tr>
        <w:trPr>
          <w:gridAfter w:val="5"/>
          <w:trHeight w:val="80"/>
        </w:trPr>
        <w:tc>
          <w:tcPr>
            <w:tcW w:w="1847" w:type="dxa"/>
            <w:gridSpan w:val="2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849" w:type="dxa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gridSpan w:val="3"/>
            <w:noWrap/>
            <w:textDirection w:val="lrTb"/>
          </w:tcPr>
          <w:p>
            <w:pPr>
              <w:tabs>
                <w:tab w:val="left" w:pos="993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463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показателя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Единица измерения 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(по ОКЕИ</w:t>
            </w:r>
            <w:r>
              <w:rPr>
                <w:b/>
                <w:bCs/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Временные характеристики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97"/>
              <w:ind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Метод сбора информации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за сбор данных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 показателю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9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97"/>
              <w:ind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Срок предоставления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75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ind w:left="7"/>
              <w:rPr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Проценты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Ежегодно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Внутренняя отчетность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Потапова Елена Григорьевна – главный специалист – управляющая делами администрации Андреевского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bookmarkEnd w:id="0"/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20.02.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(каждого года)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rPr>
      <w:sz w:val="28"/>
      <w:lang w:eastAsia="ru-RU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Heading 2"/>
    <w:basedOn w:val="682"/>
    <w:next w:val="682"/>
    <w:link w:val="70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 w:customStyle="1">
    <w:name w:val="Heading 3"/>
    <w:basedOn w:val="682"/>
    <w:next w:val="682"/>
    <w:link w:val="71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Heading 4"/>
    <w:basedOn w:val="682"/>
    <w:next w:val="682"/>
    <w:link w:val="71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Heading 5"/>
    <w:basedOn w:val="682"/>
    <w:next w:val="682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 w:customStyle="1">
    <w:name w:val="Heading 6"/>
    <w:basedOn w:val="682"/>
    <w:next w:val="682"/>
    <w:link w:val="71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Heading 7"/>
    <w:basedOn w:val="682"/>
    <w:next w:val="682"/>
    <w:link w:val="71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Heading 8"/>
    <w:basedOn w:val="682"/>
    <w:next w:val="682"/>
    <w:link w:val="72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Heading 9"/>
    <w:basedOn w:val="682"/>
    <w:next w:val="682"/>
    <w:link w:val="72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 w:customStyle="1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5" w:customStyle="1">
    <w:name w:val="Heading 1"/>
    <w:basedOn w:val="682"/>
    <w:link w:val="90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96" w:customStyle="1">
    <w:name w:val="Title Char"/>
    <w:basedOn w:val="683"/>
    <w:uiPriority w:val="10"/>
    <w:rPr>
      <w:sz w:val="48"/>
      <w:szCs w:val="48"/>
    </w:rPr>
  </w:style>
  <w:style w:type="character" w:styleId="697" w:customStyle="1">
    <w:name w:val="Subtitle Char"/>
    <w:basedOn w:val="683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paragraph" w:styleId="702" w:customStyle="1">
    <w:name w:val="Заголовок 11"/>
    <w:basedOn w:val="682"/>
    <w:next w:val="682"/>
    <w:pPr>
      <w:keepNext/>
      <w:jc w:val="center"/>
      <w:outlineLvl w:val="0"/>
    </w:pPr>
    <w:rPr>
      <w:sz w:val="36"/>
    </w:rPr>
  </w:style>
  <w:style w:type="paragraph" w:styleId="703" w:customStyle="1">
    <w:name w:val="Заголовок 21"/>
    <w:basedOn w:val="682"/>
    <w:next w:val="682"/>
    <w:pPr>
      <w:keepNext/>
      <w:jc w:val="center"/>
      <w:outlineLvl w:val="1"/>
    </w:pPr>
    <w:rPr>
      <w:b/>
      <w:bCs/>
    </w:rPr>
  </w:style>
  <w:style w:type="paragraph" w:styleId="704" w:customStyle="1">
    <w:name w:val="Заголовок 31"/>
    <w:basedOn w:val="682"/>
    <w:next w:val="682"/>
    <w:pPr>
      <w:keepNext/>
      <w:jc w:val="center"/>
      <w:outlineLvl w:val="2"/>
    </w:pPr>
  </w:style>
  <w:style w:type="paragraph" w:styleId="705" w:customStyle="1">
    <w:name w:val="Заголовок 12"/>
    <w:basedOn w:val="682"/>
    <w:next w:val="682"/>
    <w:link w:val="70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 w:customStyle="1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 w:customStyle="1">
    <w:name w:val="Заголовок 22"/>
    <w:basedOn w:val="682"/>
    <w:next w:val="682"/>
    <w:link w:val="70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 w:customStyle="1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 w:customStyle="1">
    <w:name w:val="Заголовок 32"/>
    <w:basedOn w:val="682"/>
    <w:next w:val="682"/>
    <w:link w:val="71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 w:customStyle="1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 w:customStyle="1">
    <w:name w:val="Заголовок 41"/>
    <w:basedOn w:val="682"/>
    <w:next w:val="682"/>
    <w:link w:val="71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basedOn w:val="682"/>
    <w:next w:val="682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Заголовок 61"/>
    <w:basedOn w:val="682"/>
    <w:next w:val="682"/>
    <w:link w:val="71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 w:customStyle="1">
    <w:name w:val="Заголовок 71"/>
    <w:basedOn w:val="682"/>
    <w:next w:val="682"/>
    <w:link w:val="71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 w:customStyle="1">
    <w:name w:val="Заголовок 81"/>
    <w:basedOn w:val="682"/>
    <w:next w:val="682"/>
    <w:link w:val="72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 w:customStyle="1">
    <w:name w:val="Заголовок 91"/>
    <w:basedOn w:val="682"/>
    <w:next w:val="682"/>
    <w:link w:val="72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682"/>
    <w:uiPriority w:val="34"/>
    <w:qFormat/>
    <w:pPr>
      <w:ind w:left="720"/>
      <w:contextualSpacing/>
    </w:pPr>
  </w:style>
  <w:style w:type="paragraph" w:styleId="724">
    <w:name w:val="No Spacing"/>
    <w:qFormat/>
  </w:style>
  <w:style w:type="paragraph" w:styleId="725">
    <w:name w:val="Title"/>
    <w:basedOn w:val="682"/>
    <w:next w:val="682"/>
    <w:link w:val="72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682"/>
    <w:next w:val="682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682"/>
    <w:next w:val="682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2"/>
    <w:next w:val="682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 w:customStyle="1">
    <w:name w:val="Верхний колонтитул1"/>
    <w:basedOn w:val="682"/>
    <w:link w:val="7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Header Char"/>
    <w:link w:val="733"/>
    <w:uiPriority w:val="99"/>
  </w:style>
  <w:style w:type="paragraph" w:styleId="735" w:customStyle="1">
    <w:name w:val="Нижний колонтитул1"/>
    <w:basedOn w:val="682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uiPriority w:val="99"/>
  </w:style>
  <w:style w:type="paragraph" w:styleId="737" w:customStyle="1">
    <w:name w:val="Название объекта1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link w:val="735"/>
    <w:uiPriority w:val="99"/>
  </w:style>
  <w:style w:type="table" w:styleId="739">
    <w:name w:val="Table Grid"/>
    <w:basedOn w:val="68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rPr>
      <w:color w:val="0000ff"/>
      <w:u w:val="single"/>
    </w:rPr>
  </w:style>
  <w:style w:type="paragraph" w:styleId="866">
    <w:name w:val="footnote text"/>
    <w:basedOn w:val="682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682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682"/>
    <w:next w:val="682"/>
    <w:uiPriority w:val="39"/>
    <w:unhideWhenUsed/>
    <w:pPr>
      <w:spacing w:after="57"/>
    </w:pPr>
  </w:style>
  <w:style w:type="paragraph" w:styleId="873">
    <w:name w:val="toc 2"/>
    <w:basedOn w:val="682"/>
    <w:next w:val="682"/>
    <w:uiPriority w:val="39"/>
    <w:unhideWhenUsed/>
    <w:pPr>
      <w:spacing w:after="57"/>
      <w:ind w:left="283"/>
    </w:pPr>
  </w:style>
  <w:style w:type="paragraph" w:styleId="874">
    <w:name w:val="toc 3"/>
    <w:basedOn w:val="682"/>
    <w:next w:val="682"/>
    <w:uiPriority w:val="39"/>
    <w:unhideWhenUsed/>
    <w:pPr>
      <w:spacing w:after="57"/>
      <w:ind w:left="567"/>
    </w:pPr>
  </w:style>
  <w:style w:type="paragraph" w:styleId="875">
    <w:name w:val="toc 4"/>
    <w:basedOn w:val="682"/>
    <w:next w:val="682"/>
    <w:uiPriority w:val="39"/>
    <w:unhideWhenUsed/>
    <w:pPr>
      <w:spacing w:after="57"/>
      <w:ind w:left="850"/>
    </w:pPr>
  </w:style>
  <w:style w:type="paragraph" w:styleId="876">
    <w:name w:val="toc 5"/>
    <w:basedOn w:val="682"/>
    <w:next w:val="682"/>
    <w:uiPriority w:val="39"/>
    <w:unhideWhenUsed/>
    <w:pPr>
      <w:spacing w:after="57"/>
      <w:ind w:left="1134"/>
    </w:pPr>
  </w:style>
  <w:style w:type="paragraph" w:styleId="877">
    <w:name w:val="toc 6"/>
    <w:basedOn w:val="682"/>
    <w:next w:val="682"/>
    <w:uiPriority w:val="39"/>
    <w:unhideWhenUsed/>
    <w:pPr>
      <w:spacing w:after="57"/>
      <w:ind w:left="1417"/>
    </w:pPr>
  </w:style>
  <w:style w:type="paragraph" w:styleId="878">
    <w:name w:val="toc 7"/>
    <w:basedOn w:val="682"/>
    <w:next w:val="682"/>
    <w:uiPriority w:val="39"/>
    <w:unhideWhenUsed/>
    <w:pPr>
      <w:spacing w:after="57"/>
      <w:ind w:left="1701"/>
    </w:pPr>
  </w:style>
  <w:style w:type="paragraph" w:styleId="879">
    <w:name w:val="toc 8"/>
    <w:basedOn w:val="682"/>
    <w:next w:val="682"/>
    <w:uiPriority w:val="39"/>
    <w:unhideWhenUsed/>
    <w:pPr>
      <w:spacing w:after="57"/>
      <w:ind w:left="1984"/>
    </w:pPr>
  </w:style>
  <w:style w:type="paragraph" w:styleId="880">
    <w:name w:val="toc 9"/>
    <w:basedOn w:val="682"/>
    <w:next w:val="682"/>
    <w:uiPriority w:val="39"/>
    <w:unhideWhenUsed/>
    <w:pPr>
      <w:spacing w:after="57"/>
      <w:ind w:left="2268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2"/>
    <w:next w:val="682"/>
    <w:uiPriority w:val="99"/>
    <w:unhideWhenUsed/>
  </w:style>
  <w:style w:type="paragraph" w:styleId="883">
    <w:name w:val="Body Text Indent"/>
    <w:basedOn w:val="682"/>
    <w:pPr>
      <w:spacing w:line="360" w:lineRule="auto"/>
      <w:ind w:firstLine="720"/>
      <w:jc w:val="both"/>
    </w:pPr>
  </w:style>
  <w:style w:type="paragraph" w:styleId="884">
    <w:name w:val="Balloon Text"/>
    <w:basedOn w:val="682"/>
    <w:semiHidden/>
    <w:rPr>
      <w:rFonts w:ascii="Tahoma" w:hAnsi="Tahoma"/>
      <w:sz w:val="16"/>
      <w:szCs w:val="16"/>
    </w:rPr>
  </w:style>
  <w:style w:type="paragraph" w:styleId="885" w:customStyle="1">
    <w:name w:val="Знак"/>
    <w:basedOn w:val="682"/>
    <w:pPr>
      <w:widowControl w:val="off"/>
      <w:spacing w:after="160" w:line="240" w:lineRule="exact"/>
      <w:jc w:val="right"/>
    </w:pPr>
    <w:rPr>
      <w:sz w:val="20"/>
      <w:lang w:val="en-GB" w:eastAsia="en-US"/>
    </w:rPr>
  </w:style>
  <w:style w:type="character" w:styleId="886" w:customStyle="1">
    <w:name w:val="Основной текст_"/>
    <w:link w:val="888"/>
    <w:rPr>
      <w:sz w:val="28"/>
      <w:szCs w:val="28"/>
      <w:shd w:val="clear" w:color="auto" w:fill="ffffff"/>
    </w:rPr>
  </w:style>
  <w:style w:type="character" w:styleId="887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88" w:customStyle="1">
    <w:name w:val="Основной текст1"/>
    <w:basedOn w:val="682"/>
    <w:link w:val="886"/>
    <w:pPr>
      <w:widowControl w:val="off"/>
      <w:shd w:val="clear" w:color="auto" w:fill="ffffff"/>
      <w:spacing w:before="780" w:line="322" w:lineRule="exact"/>
      <w:ind w:firstLine="640"/>
      <w:jc w:val="both"/>
    </w:pPr>
    <w:rPr>
      <w:szCs w:val="28"/>
      <w:lang w:val="en-US" w:eastAsia="en-US"/>
    </w:rPr>
  </w:style>
  <w:style w:type="paragraph" w:styleId="889" w:customStyle="1">
    <w:name w:val="Верхний колонтитул2"/>
    <w:basedOn w:val="682"/>
    <w:link w:val="89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0" w:customStyle="1">
    <w:name w:val="Верхний колонтитул Знак"/>
    <w:link w:val="889"/>
    <w:rPr>
      <w:sz w:val="28"/>
    </w:rPr>
  </w:style>
  <w:style w:type="paragraph" w:styleId="891" w:customStyle="1">
    <w:name w:val="Нижний колонтитул2"/>
    <w:basedOn w:val="682"/>
    <w:link w:val="89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2" w:customStyle="1">
    <w:name w:val="Нижний колонтитул Знак"/>
    <w:link w:val="891"/>
    <w:rPr>
      <w:sz w:val="28"/>
    </w:rPr>
  </w:style>
  <w:style w:type="paragraph" w:styleId="893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894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895" w:customStyle="1">
    <w:name w:val="Сетка таблицы1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firstLine="851"/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896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rPr>
      <w:cantSplit/>
    </w:trPr>
    <w:tcPr>
      <w:tcW w:w="0" w:type="auto"/>
    </w:tcPr>
  </w:style>
  <w:style w:type="paragraph" w:styleId="897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898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899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paragraph" w:styleId="90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01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0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03" w:customStyle="1">
    <w:name w:val="Header"/>
    <w:basedOn w:val="682"/>
    <w:link w:val="90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1"/>
    <w:basedOn w:val="683"/>
    <w:link w:val="903"/>
    <w:uiPriority w:val="99"/>
    <w:semiHidden/>
    <w:rPr>
      <w:sz w:val="28"/>
      <w:lang w:eastAsia="ru-RU"/>
    </w:rPr>
  </w:style>
  <w:style w:type="paragraph" w:styleId="905" w:customStyle="1">
    <w:name w:val="Footer"/>
    <w:basedOn w:val="682"/>
    <w:link w:val="90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1"/>
    <w:basedOn w:val="683"/>
    <w:link w:val="905"/>
    <w:uiPriority w:val="99"/>
    <w:semiHidden/>
    <w:rPr>
      <w:sz w:val="28"/>
      <w:lang w:eastAsia="ru-RU"/>
    </w:rPr>
  </w:style>
  <w:style w:type="character" w:styleId="907" w:customStyle="1">
    <w:name w:val="Заголовок 1 Знак"/>
    <w:basedOn w:val="683"/>
    <w:link w:val="695"/>
    <w:uiPriority w:val="9"/>
    <w:rPr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</cp:revision>
  <dcterms:created xsi:type="dcterms:W3CDTF">2025-04-28T06:24:00Z</dcterms:created>
  <dcterms:modified xsi:type="dcterms:W3CDTF">2025-05-05T13:12:41Z</dcterms:modified>
</cp:coreProperties>
</file>